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5713A">
      <w:pPr>
        <w:spacing w:before="100" w:beforeAutospacing="1" w:after="100" w:afterAutospacing="1" w:line="360" w:lineRule="auto"/>
        <w:jc w:val="center"/>
        <w:rPr>
          <w:rFonts w:ascii="Times New Roman" w:hAnsi="Times New Roman" w:eastAsia="Times New Roman" w:cs="Times New Roman"/>
          <w:sz w:val="32"/>
          <w:szCs w:val="32"/>
        </w:rPr>
      </w:pPr>
      <w:r>
        <w:rPr>
          <w:rFonts w:ascii="Times New Roman" w:hAnsi="Times New Roman" w:eastAsia="Times New Roman" w:cs="Times New Roman"/>
          <w:b/>
          <w:bCs/>
          <w:sz w:val="32"/>
          <w:szCs w:val="32"/>
        </w:rPr>
        <w:t>Digitalization and FinTech in International Finance: Transforming Global Financial Ecosystems</w:t>
      </w:r>
    </w:p>
    <w:p w14:paraId="1F35669C">
      <w:pPr>
        <w:spacing w:after="0" w:line="360" w:lineRule="auto"/>
        <w:rPr>
          <w:rFonts w:ascii="Times New Roman" w:hAnsi="Times New Roman" w:eastAsia="Times New Roman" w:cs="Times New Roman"/>
          <w:sz w:val="24"/>
          <w:szCs w:val="24"/>
        </w:rPr>
        <w:sectPr>
          <w:headerReference r:id="rId5" w:type="default"/>
          <w:footerReference r:id="rId6" w:type="default"/>
          <w:footerReference r:id="rId7" w:type="even"/>
          <w:pgSz w:w="12240" w:h="15840"/>
          <w:pgMar w:top="1440" w:right="1440" w:bottom="1440" w:left="1440" w:header="720" w:footer="720" w:gutter="0"/>
          <w:pgNumType w:start="107"/>
          <w:cols w:space="720" w:num="1"/>
          <w:docGrid w:linePitch="360" w:charSpace="0"/>
        </w:sectPr>
      </w:pPr>
    </w:p>
    <w:p w14:paraId="5EAE2C69">
      <w:pPr>
        <w:spacing w:after="0" w:line="360" w:lineRule="auto"/>
        <w:rPr>
          <w:rFonts w:ascii="Times New Roman" w:hAnsi="Times New Roman" w:eastAsia="Times New Roman" w:cs="Times New Roman"/>
          <w:b/>
          <w:bCs/>
        </w:rPr>
      </w:pPr>
      <w:r>
        <w:rPr>
          <w:rFonts w:ascii="Times New Roman" w:hAnsi="Times New Roman" w:eastAsia="Times New Roman" w:cs="Times New Roman"/>
          <w:b/>
          <w:bCs/>
        </w:rPr>
        <w:t>Dr Kamalpreet Kaur Sandhu</w:t>
      </w:r>
      <w:r>
        <w:rPr>
          <w:rFonts w:ascii="Times New Roman" w:hAnsi="Times New Roman" w:eastAsia="Times New Roman" w:cs="Times New Roman"/>
          <w:b/>
          <w:bCs/>
        </w:rPr>
        <w:tab/>
      </w:r>
      <w:r>
        <w:rPr>
          <w:rFonts w:ascii="Times New Roman" w:hAnsi="Times New Roman" w:eastAsia="Times New Roman" w:cs="Times New Roman"/>
          <w:b/>
          <w:bCs/>
        </w:rPr>
        <w:tab/>
      </w:r>
      <w:r>
        <w:rPr>
          <w:rFonts w:ascii="Times New Roman" w:hAnsi="Times New Roman" w:eastAsia="Times New Roman" w:cs="Times New Roman"/>
          <w:b/>
          <w:bCs/>
        </w:rPr>
        <w:tab/>
      </w:r>
      <w:r>
        <w:rPr>
          <w:rFonts w:ascii="Times New Roman" w:hAnsi="Times New Roman" w:eastAsia="Times New Roman" w:cs="Times New Roman"/>
          <w:b/>
          <w:bCs/>
        </w:rPr>
        <w:tab/>
      </w:r>
      <w:r>
        <w:rPr>
          <w:rFonts w:ascii="Times New Roman" w:hAnsi="Times New Roman" w:eastAsia="Times New Roman" w:cs="Times New Roman"/>
          <w:b/>
          <w:bCs/>
        </w:rPr>
        <w:t>Dr Neeru Kapoor</w:t>
      </w:r>
    </w:p>
    <w:p w14:paraId="5AEAABC2">
      <w:pPr>
        <w:spacing w:after="0" w:line="360" w:lineRule="auto"/>
        <w:rPr>
          <w:rStyle w:val="6"/>
          <w:rFonts w:ascii="Times New Roman" w:hAnsi="Times New Roman" w:cs="Times New Roman"/>
          <w:b w:val="0"/>
          <w:bCs w:val="0"/>
          <w:i w:val="0"/>
          <w:iCs w:val="0"/>
        </w:rPr>
      </w:pPr>
      <w:r>
        <w:rPr>
          <w:rStyle w:val="6"/>
          <w:rFonts w:ascii="Times New Roman" w:hAnsi="Times New Roman" w:cs="Times New Roman"/>
          <w:b w:val="0"/>
          <w:bCs w:val="0"/>
          <w:i w:val="0"/>
          <w:iCs w:val="0"/>
        </w:rPr>
        <w:t xml:space="preserve">PG Dept. Of Comm. and Mgt.  </w:t>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 xml:space="preserve">PG Dept. Of Comm. and Mgt.  </w:t>
      </w:r>
      <w:r>
        <w:rPr>
          <w:rStyle w:val="6"/>
          <w:rFonts w:ascii="Times New Roman" w:hAnsi="Times New Roman" w:cs="Times New Roman"/>
          <w:b w:val="0"/>
          <w:bCs w:val="0"/>
          <w:i w:val="0"/>
          <w:iCs w:val="0"/>
        </w:rPr>
        <w:tab/>
      </w:r>
    </w:p>
    <w:p w14:paraId="77CC15BA">
      <w:pPr>
        <w:spacing w:after="0" w:line="360" w:lineRule="auto"/>
        <w:rPr>
          <w:rStyle w:val="6"/>
          <w:rFonts w:ascii="Times New Roman" w:hAnsi="Times New Roman" w:cs="Times New Roman"/>
          <w:b w:val="0"/>
          <w:bCs w:val="0"/>
          <w:i w:val="0"/>
          <w:iCs w:val="0"/>
        </w:rPr>
      </w:pPr>
      <w:r>
        <w:rPr>
          <w:rStyle w:val="6"/>
          <w:rFonts w:ascii="Times New Roman" w:hAnsi="Times New Roman" w:cs="Times New Roman"/>
          <w:b w:val="0"/>
          <w:bCs w:val="0"/>
          <w:i w:val="0"/>
          <w:iCs w:val="0"/>
        </w:rPr>
        <w:t>Khalsa College for Women</w:t>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Khalsa College for Women</w:t>
      </w:r>
    </w:p>
    <w:p w14:paraId="6B6A821E">
      <w:pPr>
        <w:spacing w:after="0" w:line="360" w:lineRule="auto"/>
        <w:rPr>
          <w:rFonts w:ascii="Times New Roman" w:hAnsi="Times New Roman" w:eastAsia="Times New Roman" w:cs="Times New Roman"/>
          <w:b/>
          <w:bCs/>
          <w:sz w:val="28"/>
          <w:szCs w:val="28"/>
        </w:rPr>
      </w:pPr>
      <w:r>
        <w:rPr>
          <w:rStyle w:val="6"/>
          <w:rFonts w:ascii="Times New Roman" w:hAnsi="Times New Roman" w:cs="Times New Roman"/>
          <w:b w:val="0"/>
          <w:bCs w:val="0"/>
          <w:i w:val="0"/>
          <w:iCs w:val="0"/>
        </w:rPr>
        <w:t>Amritsar</w:t>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r>
        <w:rPr>
          <w:rStyle w:val="6"/>
          <w:rFonts w:ascii="Times New Roman" w:hAnsi="Times New Roman" w:cs="Times New Roman"/>
          <w:b w:val="0"/>
          <w:bCs w:val="0"/>
          <w:i w:val="0"/>
          <w:iCs w:val="0"/>
        </w:rPr>
        <w:tab/>
      </w:r>
      <w:bookmarkStart w:id="0" w:name="_GoBack"/>
      <w:bookmarkEnd w:id="0"/>
      <w:r>
        <w:rPr>
          <w:rStyle w:val="6"/>
          <w:rFonts w:ascii="Times New Roman" w:hAnsi="Times New Roman" w:cs="Times New Roman"/>
          <w:b w:val="0"/>
          <w:bCs w:val="0"/>
          <w:i w:val="0"/>
          <w:iCs w:val="0"/>
        </w:rPr>
        <w:t>Amritsar</w:t>
      </w:r>
      <w:r>
        <w:rPr>
          <w:rStyle w:val="6"/>
          <w:b w:val="0"/>
          <w:bCs w:val="0"/>
        </w:rPr>
        <w:t xml:space="preserve">      </w:t>
      </w:r>
      <w:r>
        <w:rPr>
          <w:rStyle w:val="6"/>
          <w:b/>
          <w:bCs/>
        </w:rPr>
        <w:t xml:space="preserve">               </w:t>
      </w:r>
    </w:p>
    <w:p w14:paraId="700EBB59">
      <w:pPr>
        <w:spacing w:before="100" w:beforeAutospacing="1" w:after="100" w:afterAutospacing="1" w:line="360" w:lineRule="auto"/>
        <w:jc w:val="both"/>
        <w:outlineLvl w:val="1"/>
        <w:rPr>
          <w:rFonts w:ascii="Times New Roman" w:hAnsi="Times New Roman" w:eastAsia="Times New Roman" w:cs="Times New Roman"/>
          <w:b/>
          <w:bCs/>
          <w:i/>
          <w:iCs/>
          <w:sz w:val="28"/>
          <w:szCs w:val="28"/>
        </w:rPr>
      </w:pPr>
      <w:r>
        <w:rPr>
          <w:rFonts w:ascii="Times New Roman" w:hAnsi="Times New Roman" w:eastAsia="Times New Roman" w:cs="Times New Roman"/>
          <w:b/>
          <w:bCs/>
          <w:i/>
          <w:iCs/>
          <w:sz w:val="28"/>
          <w:szCs w:val="28"/>
        </w:rPr>
        <w:t>Abstract</w:t>
      </w:r>
    </w:p>
    <w:p w14:paraId="00362851">
      <w:pPr>
        <w:spacing w:before="100" w:beforeAutospacing="1" w:after="100" w:afterAutospacing="1" w:line="360" w:lineRule="auto"/>
        <w:jc w:val="both"/>
        <w:rPr>
          <w:rFonts w:ascii="Times New Roman" w:hAnsi="Times New Roman" w:eastAsia="Times New Roman" w:cs="Times New Roman"/>
          <w:i/>
          <w:iCs/>
          <w:sz w:val="24"/>
          <w:szCs w:val="24"/>
        </w:rPr>
      </w:pPr>
      <w:r>
        <w:rPr>
          <w:rFonts w:ascii="Times New Roman" w:hAnsi="Times New Roman" w:eastAsia="Times New Roman" w:cs="Times New Roman"/>
          <w:i/>
          <w:iCs/>
          <w:sz w:val="24"/>
          <w:szCs w:val="24"/>
        </w:rPr>
        <w:t>This paper explores the transformative impact of digitalization and financial technology (FinTech) on international finance. It examines the evolution of digital tools, cross-border payment systems, decentralized finance (DeFi), and regulatory frameworks. The research highlights both opportunities and risks associated with FinTech innovations in global financial markets, focusing on financial inclusion, regulatory arbitrage, cybersecurity, and monetary policy implications.</w:t>
      </w:r>
    </w:p>
    <w:p w14:paraId="38B55CF4">
      <w:pPr>
        <w:pStyle w:val="2"/>
        <w:spacing w:line="360" w:lineRule="auto"/>
        <w:jc w:val="both"/>
        <w:rPr>
          <w:sz w:val="28"/>
          <w:szCs w:val="28"/>
        </w:rPr>
      </w:pPr>
      <w:r>
        <w:rPr>
          <w:rStyle w:val="12"/>
          <w:b/>
          <w:bCs/>
          <w:sz w:val="28"/>
          <w:szCs w:val="28"/>
        </w:rPr>
        <w:t>Introduction</w:t>
      </w:r>
    </w:p>
    <w:p w14:paraId="20BBD8F5">
      <w:pPr>
        <w:pStyle w:val="10"/>
        <w:spacing w:line="360" w:lineRule="auto"/>
        <w:jc w:val="both"/>
      </w:pPr>
      <w:r>
        <w:t xml:space="preserve">In recent years, </w:t>
      </w:r>
      <w:r>
        <w:rPr>
          <w:rStyle w:val="12"/>
        </w:rPr>
        <w:t>digitalization</w:t>
      </w:r>
      <w:r>
        <w:t xml:space="preserve"> and </w:t>
      </w:r>
      <w:r>
        <w:rPr>
          <w:rStyle w:val="12"/>
        </w:rPr>
        <w:t>financial technology (FinTech)</w:t>
      </w:r>
      <w:r>
        <w:t xml:space="preserve"> have emerged as transformative forces within the global financial landscape. </w:t>
      </w:r>
      <w:r>
        <w:rPr>
          <w:rStyle w:val="12"/>
        </w:rPr>
        <w:t>Digitalization</w:t>
      </w:r>
      <w:r>
        <w:t xml:space="preserve"> refers to the integration of digital technologies into business operations, financial services, and infrastructure, enabling enhanced efficiency, accessibility, and innovation. </w:t>
      </w:r>
      <w:r>
        <w:rPr>
          <w:rStyle w:val="12"/>
        </w:rPr>
        <w:t>FinTech</w:t>
      </w:r>
      <w:r>
        <w:t>, a subset of digitalization, broadly encompasses technology-driven financial services that challenge or complement traditional financial institutions. This includes innovations such as mobile banking, blockchain, digital currencies, algorithmic trading, and decentralized finance (DeFi) platforms.</w:t>
      </w:r>
    </w:p>
    <w:p w14:paraId="617EE879">
      <w:pPr>
        <w:pStyle w:val="10"/>
        <w:spacing w:line="360" w:lineRule="auto"/>
        <w:jc w:val="both"/>
      </w:pPr>
      <w:r>
        <w:t xml:space="preserve">The growing influence of these technologies is profoundly reshaping </w:t>
      </w:r>
      <w:r>
        <w:rPr>
          <w:rStyle w:val="12"/>
        </w:rPr>
        <w:t>international finance</w:t>
      </w:r>
      <w:r>
        <w:t>—the management of monetary interactions that cross national borders. Traditional cross-border financial systems have long been characterized by inefficiencies such as high transaction costs, limited transparency, and delayed settlements. FinTech innovations offer the potential to address many of these issues, streamlining payments, increasing financial inclusion, and improving access to global capital markets.</w:t>
      </w:r>
    </w:p>
    <w:p w14:paraId="5CA95002">
      <w:pPr>
        <w:pStyle w:val="10"/>
        <w:spacing w:line="360" w:lineRule="auto"/>
        <w:jc w:val="both"/>
      </w:pPr>
      <w:r>
        <w:t xml:space="preserve">This transformation raises a critical research question: </w:t>
      </w:r>
      <w:r>
        <w:rPr>
          <w:rStyle w:val="12"/>
        </w:rPr>
        <w:t>How are digital technologies and FinTech reshaping international finance?</w:t>
      </w:r>
      <w:r>
        <w:t xml:space="preserve"> This paper aims to explore the implications of FinTech on global financial systems, focusing on areas such as cross-border payments, decentralized financial platforms, and central bank digital currencies (CBDCs). It also considers emerging regulatory challenges and opportunities, particularly for developing economies seeking to leverage digital tools for economic development.</w:t>
      </w:r>
    </w:p>
    <w:p w14:paraId="666F45B3">
      <w:pPr>
        <w:pStyle w:val="2"/>
        <w:spacing w:line="360" w:lineRule="auto"/>
        <w:jc w:val="both"/>
        <w:rPr>
          <w:sz w:val="28"/>
          <w:szCs w:val="28"/>
        </w:rPr>
      </w:pPr>
      <w:r>
        <w:rPr>
          <w:rStyle w:val="12"/>
          <w:b/>
          <w:bCs/>
          <w:sz w:val="28"/>
          <w:szCs w:val="28"/>
        </w:rPr>
        <w:t>Literature Review</w:t>
      </w:r>
    </w:p>
    <w:p w14:paraId="55D1D039">
      <w:pPr>
        <w:pStyle w:val="10"/>
        <w:spacing w:line="360" w:lineRule="auto"/>
        <w:jc w:val="both"/>
      </w:pPr>
      <w:r>
        <w:t>The intersection of digitalization and international finance has attracted increasing scholarly and institutional attention in recent years. This section reviews key academic and policy literature on the evolution of FinTech, its role in transforming cross-border financial systems, and the implications of emerging technologies such as blockchain, decentralized finance (DeFi), and central bank digital currencies (CBDCs).</w:t>
      </w:r>
    </w:p>
    <w:p w14:paraId="6D2DFFA2">
      <w:pPr>
        <w:pStyle w:val="10"/>
        <w:spacing w:line="360" w:lineRule="auto"/>
        <w:jc w:val="both"/>
      </w:pPr>
      <w:r>
        <w:t>Arner, Barberis, and Buckley (2015) define FinTech as the application of technology to improve financial services. They trace its evolution in three waves: the digitization of traditional finance (FinTech 1.0), the rise of internet and mobile-based finance (FinTech 2.0), and the emergence of platform-based and decentralized financial services (FinTech 3.0). Scholars emphasize that the recent FinTech wave is not merely about innovation within finance but about the reconfiguration of the global financial architecture.</w:t>
      </w:r>
    </w:p>
    <w:p w14:paraId="18B4DD65">
      <w:pPr>
        <w:pStyle w:val="10"/>
        <w:spacing w:line="360" w:lineRule="auto"/>
        <w:jc w:val="both"/>
      </w:pPr>
      <w:r>
        <w:t>Digital transformation is altering the international financial infrastructure by enhancing transaction speed, reducing costs, and improving transparency (World Bank, 2020). Real-time gross settlement systems and digital payment networks such as SWIFT gpi and RippleNet have reduced frictions in cross-border payments. Studies by the Bank for International Settlements (BIS) highlight how FinTech enhances cross-border financial intermediation but also introduces new risks such as concentration in tech providers and operational vulnerabilities.Research on blockchain and cryptocurrencies focuses on their potential to disintermediate traditional financial institutions. Nakamoto’s (2008) Bitcoin whitepaper introduced a decentralized peer-to-peer payment system, triggering a wave of academic analysis on the implications of permissionless ledgers for global finance. DeFi platforms, which offer borderless lending, insurance, and trading services, have been studied for their potential to democratize finance (Schär, 2021). However, concerns about volatility, regulatory evasion, and financial stability persist.</w:t>
      </w:r>
    </w:p>
    <w:p w14:paraId="6D9E229D">
      <w:pPr>
        <w:pStyle w:val="10"/>
        <w:spacing w:line="360" w:lineRule="auto"/>
        <w:jc w:val="both"/>
      </w:pPr>
      <w:r>
        <w:t>A growing body of literature examines CBDCs as a response by central banks to private digital currencies. Auer and Böhme (2021) discuss the potential for CBDCs to improve cross-border payment efficiency, reduce reliance on intermediaries, and enhance monetary sovereignty. Projects such as mBridge and Project Dunbar, led by BIS and various central banks, are exploring multi-CBDC platforms to facilitate real-time cross-border settlements. However, the literature also notes challenges related to legal frameworks, privacy, and interoperability.</w:t>
      </w:r>
    </w:p>
    <w:p w14:paraId="66A2C058">
      <w:pPr>
        <w:pStyle w:val="10"/>
        <w:spacing w:line="360" w:lineRule="auto"/>
        <w:jc w:val="both"/>
      </w:pPr>
      <w:r>
        <w:t>The regulatory literature emphasizes the need for international coordination to address issues such as data governance, consumer protection, and anti-money laundering (AML). Zetzsche et al. (2020) warn of "regulatory arbitrage" where FinTech firms exploit discrepancies across jurisdictions. Regulatory sandboxes in jurisdictions such as the UK, Singapore, and the UAE have been studied as experimental frameworks to support innovation while managing systemic risks.</w:t>
      </w:r>
    </w:p>
    <w:p w14:paraId="0CB9CB9C">
      <w:pPr>
        <w:pStyle w:val="10"/>
        <w:spacing w:line="360" w:lineRule="auto"/>
        <w:jc w:val="both"/>
      </w:pPr>
      <w:r>
        <w:t>Research highlights the role of FinTech in promoting financial inclusion, particularly in low- and middle-income countries. Mobile money platforms like M-Pesa in Kenya have expanded access to financial services for unbanked populations. Suri and Jack (2016) demonstrate positive impacts on poverty reduction and household resilience. However, digital divides and inadequate infrastructure still limit the potential of FinTech in many regions.</w:t>
      </w:r>
    </w:p>
    <w:p w14:paraId="4EC4D8C4">
      <w:pPr>
        <w:pStyle w:val="10"/>
        <w:spacing w:line="360" w:lineRule="auto"/>
        <w:jc w:val="both"/>
      </w:pPr>
      <w:r>
        <w:t xml:space="preserve">Despite a growing body of research, empirical studies on the </w:t>
      </w:r>
      <w:r>
        <w:rPr>
          <w:rStyle w:val="12"/>
        </w:rPr>
        <w:t>long-term impacts of FinTech on global capital flows, exchange rate stability, and macroeconomic coordination</w:t>
      </w:r>
      <w:r>
        <w:t xml:space="preserve"> remain limited. Additionally, comparative research across regions and regulatory environments is still underdeveloped. Further interdisciplinary work is needed to understand how digitalization shapes global financial governance.</w:t>
      </w:r>
    </w:p>
    <w:p w14:paraId="70BCC0C6">
      <w:pPr>
        <w:pStyle w:val="2"/>
        <w:spacing w:line="360" w:lineRule="auto"/>
        <w:rPr>
          <w:sz w:val="28"/>
          <w:szCs w:val="28"/>
        </w:rPr>
      </w:pPr>
      <w:r>
        <w:rPr>
          <w:rStyle w:val="12"/>
          <w:b/>
          <w:bCs/>
          <w:sz w:val="28"/>
          <w:szCs w:val="28"/>
        </w:rPr>
        <w:t>Digitalization Trends in Global Financial Systems</w:t>
      </w:r>
    </w:p>
    <w:p w14:paraId="143C6983">
      <w:pPr>
        <w:pStyle w:val="10"/>
        <w:spacing w:line="360" w:lineRule="auto"/>
        <w:jc w:val="both"/>
      </w:pPr>
      <w:r>
        <w:t>Digitalization has significantly redefined the structure, operations, and reach of global financial systems. Several key trends illustrate this transformation:</w:t>
      </w:r>
    </w:p>
    <w:p w14:paraId="6CA88A8C">
      <w:pPr>
        <w:pStyle w:val="3"/>
        <w:spacing w:line="360" w:lineRule="auto"/>
        <w:jc w:val="both"/>
        <w:rPr>
          <w:rFonts w:ascii="Times New Roman" w:hAnsi="Times New Roman" w:cs="Times New Roman"/>
          <w:color w:val="000000" w:themeColor="text1"/>
          <w:sz w:val="24"/>
          <w:szCs w:val="24"/>
          <w14:textFill>
            <w14:solidFill>
              <w14:schemeClr w14:val="tx1"/>
            </w14:solidFill>
          </w14:textFill>
        </w:rPr>
      </w:pPr>
      <w:r>
        <w:rPr>
          <w:rStyle w:val="12"/>
          <w:rFonts w:ascii="Times New Roman" w:hAnsi="Times New Roman" w:cs="Times New Roman"/>
          <w:b/>
          <w:bCs/>
          <w:color w:val="000000" w:themeColor="text1"/>
          <w:sz w:val="24"/>
          <w:szCs w:val="24"/>
          <w14:textFill>
            <w14:solidFill>
              <w14:schemeClr w14:val="tx1"/>
            </w14:solidFill>
          </w14:textFill>
        </w:rPr>
        <w:t>1 Rise of Digital-Only Banks and Neobanks</w:t>
      </w:r>
    </w:p>
    <w:p w14:paraId="18D81366">
      <w:pPr>
        <w:pStyle w:val="10"/>
        <w:spacing w:line="360" w:lineRule="auto"/>
        <w:jc w:val="both"/>
      </w:pPr>
      <w:r>
        <w:t>Digital-native financial institutions—commonly referred to as neobanks—have gained rapid traction across both developed and developing markets. These banks operate without physical branches and rely on streamlined digital platforms for customer acquisition, lending, and payments. Examples include Revolut (UK), Nubank (Brazil), and N26 (Germany). Their lower operational costs and digital onboarding processes have contributed to greater accessibility in international banking services.</w:t>
      </w:r>
    </w:p>
    <w:p w14:paraId="346CF12B">
      <w:pPr>
        <w:pStyle w:val="10"/>
        <w:spacing w:line="360" w:lineRule="auto"/>
        <w:jc w:val="both"/>
      </w:pPr>
      <w:r>
        <w:rPr>
          <w:rStyle w:val="12"/>
          <w:bCs w:val="0"/>
        </w:rPr>
        <w:t>2 AI and Big Data in Financial Decision-Making</w:t>
      </w:r>
    </w:p>
    <w:p w14:paraId="526CD28A">
      <w:pPr>
        <w:pStyle w:val="10"/>
        <w:spacing w:line="360" w:lineRule="auto"/>
        <w:jc w:val="both"/>
      </w:pPr>
      <w:r>
        <w:t>Artificial intelligence and machine learning algorithms are increasingly used for risk assessment, fraud detection, and portfolio management. For cross-border finance, AI helps assess the creditworthiness of international borrowers using non-traditional data sources, improving capital allocation across borders.</w:t>
      </w:r>
    </w:p>
    <w:p w14:paraId="33D5E2C2">
      <w:pPr>
        <w:pStyle w:val="3"/>
        <w:spacing w:line="360" w:lineRule="auto"/>
        <w:jc w:val="both"/>
        <w:rPr>
          <w:rFonts w:ascii="Times New Roman" w:hAnsi="Times New Roman" w:cs="Times New Roman"/>
          <w:color w:val="auto"/>
        </w:rPr>
      </w:pPr>
      <w:r>
        <w:rPr>
          <w:rStyle w:val="12"/>
          <w:rFonts w:ascii="Times New Roman" w:hAnsi="Times New Roman" w:cs="Times New Roman"/>
          <w:b/>
          <w:bCs/>
          <w:color w:val="auto"/>
        </w:rPr>
        <w:t>3 Cloud-Based Infrastructure and Open Banking</w:t>
      </w:r>
    </w:p>
    <w:p w14:paraId="2F68F229">
      <w:pPr>
        <w:pStyle w:val="10"/>
        <w:spacing w:line="360" w:lineRule="auto"/>
        <w:jc w:val="both"/>
      </w:pPr>
      <w:r>
        <w:t>Cloud computing enables global scalability of financial services, while open banking—mandated by regulations like PSD2 in the EU—promotes data sharing across institutions. This creates more competitive financial ecosystems and fosters cross-border partnerships between banks and FinTech firms.</w:t>
      </w:r>
    </w:p>
    <w:p w14:paraId="681EE5E2">
      <w:pPr>
        <w:pStyle w:val="3"/>
        <w:spacing w:line="360" w:lineRule="auto"/>
        <w:jc w:val="both"/>
        <w:rPr>
          <w:rFonts w:ascii="Times New Roman" w:hAnsi="Times New Roman" w:cs="Times New Roman"/>
          <w:color w:val="000000" w:themeColor="text1"/>
          <w14:textFill>
            <w14:solidFill>
              <w14:schemeClr w14:val="tx1"/>
            </w14:solidFill>
          </w14:textFill>
        </w:rPr>
      </w:pPr>
      <w:r>
        <w:rPr>
          <w:rStyle w:val="12"/>
          <w:rFonts w:ascii="Times New Roman" w:hAnsi="Times New Roman" w:cs="Times New Roman"/>
          <w:b/>
          <w:bCs/>
          <w:color w:val="000000" w:themeColor="text1"/>
          <w14:textFill>
            <w14:solidFill>
              <w14:schemeClr w14:val="tx1"/>
            </w14:solidFill>
          </w14:textFill>
        </w:rPr>
        <w:t>4 Real-Time Settlement Systems</w:t>
      </w:r>
    </w:p>
    <w:p w14:paraId="04660AE3">
      <w:pPr>
        <w:pStyle w:val="10"/>
        <w:spacing w:line="360" w:lineRule="auto"/>
        <w:jc w:val="both"/>
      </w:pPr>
      <w:r>
        <w:t xml:space="preserve">Digitalization has made real-time gross settlement (RTGS) systems more efficient. Cross-border variants such as </w:t>
      </w:r>
      <w:r>
        <w:rPr>
          <w:rStyle w:val="12"/>
        </w:rPr>
        <w:t>SWIFT gpi</w:t>
      </w:r>
      <w:r>
        <w:t xml:space="preserve"> and </w:t>
      </w:r>
      <w:r>
        <w:rPr>
          <w:rStyle w:val="12"/>
        </w:rPr>
        <w:t>FedNow–TIPS interlinkages</w:t>
      </w:r>
      <w:r>
        <w:t xml:space="preserve"> aim to reduce the delay and cost associated with international transactions, helping businesses and individuals move money across borders in minutes instead of days.</w:t>
      </w:r>
    </w:p>
    <w:p w14:paraId="59BC5CA3">
      <w:pPr>
        <w:pStyle w:val="3"/>
        <w:spacing w:line="360" w:lineRule="auto"/>
        <w:jc w:val="both"/>
        <w:rPr>
          <w:rFonts w:ascii="Times New Roman" w:hAnsi="Times New Roman" w:cs="Times New Roman"/>
          <w:color w:val="auto"/>
        </w:rPr>
      </w:pPr>
      <w:r>
        <w:rPr>
          <w:rStyle w:val="12"/>
          <w:rFonts w:ascii="Times New Roman" w:hAnsi="Times New Roman" w:cs="Times New Roman"/>
          <w:b/>
          <w:bCs/>
          <w:color w:val="auto"/>
        </w:rPr>
        <w:t>5 Embedded Finance and Platformization</w:t>
      </w:r>
    </w:p>
    <w:p w14:paraId="2A3ABF92">
      <w:pPr>
        <w:pStyle w:val="10"/>
        <w:spacing w:line="360" w:lineRule="auto"/>
        <w:jc w:val="both"/>
      </w:pPr>
      <w:r>
        <w:t xml:space="preserve">Major technology firms (e.g., Apple, Google, Alibaba) are integrating financial services into their platforms. These </w:t>
      </w:r>
      <w:r>
        <w:rPr>
          <w:rStyle w:val="12"/>
        </w:rPr>
        <w:t>embedded finance</w:t>
      </w:r>
      <w:r>
        <w:t xml:space="preserve"> solutions allow seamless international payments, micro-lending, and insurance offerings within apps, enabling borderless financial interactions for users.</w:t>
      </w:r>
    </w:p>
    <w:p w14:paraId="2AD3FC29">
      <w:pPr>
        <w:pStyle w:val="2"/>
        <w:spacing w:line="360" w:lineRule="auto"/>
        <w:jc w:val="both"/>
        <w:rPr>
          <w:sz w:val="24"/>
          <w:szCs w:val="24"/>
        </w:rPr>
      </w:pPr>
      <w:r>
        <w:rPr>
          <w:rStyle w:val="12"/>
          <w:b/>
          <w:bCs/>
          <w:sz w:val="24"/>
          <w:szCs w:val="24"/>
        </w:rPr>
        <w:t>FinTech and the Transformation of Cross-Border Payments</w:t>
      </w:r>
    </w:p>
    <w:p w14:paraId="217D8C9C">
      <w:pPr>
        <w:pStyle w:val="10"/>
        <w:spacing w:line="360" w:lineRule="auto"/>
        <w:jc w:val="both"/>
      </w:pPr>
      <w:r>
        <w:t xml:space="preserve">One of the most impactful applications of FinTech has been the transformation of </w:t>
      </w:r>
      <w:r>
        <w:rPr>
          <w:rStyle w:val="12"/>
        </w:rPr>
        <w:t>cross-border payments</w:t>
      </w:r>
      <w:r>
        <w:t xml:space="preserve">, traditionally known for </w:t>
      </w:r>
      <w:r>
        <w:rPr>
          <w:sz w:val="28"/>
          <w:szCs w:val="28"/>
        </w:rPr>
        <w:t>their</w:t>
      </w:r>
      <w:r>
        <w:t xml:space="preserve"> high fees, long processing times, and opacity.</w:t>
      </w:r>
    </w:p>
    <w:p w14:paraId="6887FCBC">
      <w:pPr>
        <w:pStyle w:val="3"/>
        <w:spacing w:line="360" w:lineRule="auto"/>
        <w:jc w:val="both"/>
        <w:rPr>
          <w:rFonts w:ascii="Times New Roman" w:hAnsi="Times New Roman" w:cs="Times New Roman"/>
          <w:color w:val="000000" w:themeColor="text1"/>
          <w14:textFill>
            <w14:solidFill>
              <w14:schemeClr w14:val="tx1"/>
            </w14:solidFill>
          </w14:textFill>
        </w:rPr>
      </w:pPr>
      <w:r>
        <w:rPr>
          <w:rStyle w:val="12"/>
          <w:rFonts w:ascii="Times New Roman" w:hAnsi="Times New Roman" w:cs="Times New Roman"/>
          <w:b/>
          <w:bCs/>
          <w:color w:val="000000" w:themeColor="text1"/>
          <w14:textFill>
            <w14:solidFill>
              <w14:schemeClr w14:val="tx1"/>
            </w14:solidFill>
          </w14:textFill>
        </w:rPr>
        <w:t>Limitations of Traditional Systems</w:t>
      </w:r>
    </w:p>
    <w:p w14:paraId="43F79DC0">
      <w:pPr>
        <w:pStyle w:val="10"/>
        <w:spacing w:line="360" w:lineRule="auto"/>
        <w:jc w:val="both"/>
      </w:pPr>
      <w:r>
        <w:t>The legacy correspondent banking system involves multiple intermediaries, increasing costs and risks. According to the World Bank, the average global remittance fee remains around 6%, far from the UN Sustainable Development Goal (SDG) target of 3%.</w:t>
      </w:r>
    </w:p>
    <w:p w14:paraId="0D6BA658">
      <w:pPr>
        <w:pStyle w:val="3"/>
        <w:spacing w:line="360" w:lineRule="auto"/>
        <w:jc w:val="both"/>
        <w:rPr>
          <w:rFonts w:ascii="Times New Roman" w:hAnsi="Times New Roman" w:cs="Times New Roman"/>
          <w:color w:val="auto"/>
        </w:rPr>
      </w:pPr>
      <w:r>
        <w:rPr>
          <w:rStyle w:val="12"/>
          <w:rFonts w:ascii="Times New Roman" w:hAnsi="Times New Roman" w:cs="Times New Roman"/>
          <w:b/>
          <w:bCs/>
          <w:color w:val="auto"/>
        </w:rPr>
        <w:t xml:space="preserve"> FinTech Solutions and Disruptors</w:t>
      </w:r>
    </w:p>
    <w:p w14:paraId="75D93E67">
      <w:pPr>
        <w:pStyle w:val="10"/>
        <w:spacing w:line="360" w:lineRule="auto"/>
        <w:jc w:val="both"/>
      </w:pPr>
      <w:r>
        <w:t>FinTech companies are directly challenging traditional systems by offering cheaper, faster, and more transparent alternatives:</w:t>
      </w:r>
    </w:p>
    <w:p w14:paraId="2A3BFDB7">
      <w:pPr>
        <w:pStyle w:val="10"/>
        <w:numPr>
          <w:ilvl w:val="0"/>
          <w:numId w:val="1"/>
        </w:numPr>
        <w:spacing w:line="360" w:lineRule="auto"/>
        <w:jc w:val="both"/>
      </w:pPr>
      <w:r>
        <w:rPr>
          <w:rStyle w:val="12"/>
        </w:rPr>
        <w:t>Wise (formerly TransferWise)</w:t>
      </w:r>
      <w:r>
        <w:t xml:space="preserve"> offers low-cost international transfers using peer-matching and local account networks.</w:t>
      </w:r>
    </w:p>
    <w:p w14:paraId="5A81188A">
      <w:pPr>
        <w:pStyle w:val="10"/>
        <w:numPr>
          <w:ilvl w:val="0"/>
          <w:numId w:val="1"/>
        </w:numPr>
        <w:spacing w:line="360" w:lineRule="auto"/>
        <w:jc w:val="both"/>
      </w:pPr>
      <w:r>
        <w:rPr>
          <w:rStyle w:val="12"/>
        </w:rPr>
        <w:t>Ripple</w:t>
      </w:r>
      <w:r>
        <w:t xml:space="preserve"> uses blockchain to enable instant international settlements through XRP.</w:t>
      </w:r>
    </w:p>
    <w:p w14:paraId="259755C7">
      <w:pPr>
        <w:pStyle w:val="10"/>
        <w:numPr>
          <w:ilvl w:val="0"/>
          <w:numId w:val="1"/>
        </w:numPr>
        <w:spacing w:line="360" w:lineRule="auto"/>
        <w:jc w:val="both"/>
      </w:pPr>
      <w:r>
        <w:rPr>
          <w:rStyle w:val="12"/>
        </w:rPr>
        <w:t>Airwallex</w:t>
      </w:r>
      <w:r>
        <w:t xml:space="preserve"> and </w:t>
      </w:r>
      <w:r>
        <w:rPr>
          <w:rStyle w:val="12"/>
        </w:rPr>
        <w:t>Remitly</w:t>
      </w:r>
      <w:r>
        <w:t xml:space="preserve"> focus on SME and consumer cross-border transactions, particularly in Asia-Pacific corridors.</w:t>
      </w:r>
    </w:p>
    <w:p w14:paraId="39C27F7F">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Impact on Cost, Speed, and Inclusion</w:t>
      </w:r>
    </w:p>
    <w:p w14:paraId="75A1FA8F">
      <w:pPr>
        <w:pStyle w:val="10"/>
        <w:spacing w:line="360" w:lineRule="auto"/>
        <w:jc w:val="both"/>
      </w:pPr>
      <w:r>
        <w:t>FinTech-enabled payment rails have slashed transaction costs and processing times. This is particularly beneficial for migrant remittances and small exporters who were previously underserved by traditional banks. The increased competition also pressures incumbents to modernize their systems.</w:t>
      </w:r>
    </w:p>
    <w:p w14:paraId="62162E77">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Challenges and Regulatory Gaps</w:t>
      </w:r>
    </w:p>
    <w:p w14:paraId="08018870">
      <w:pPr>
        <w:pStyle w:val="10"/>
        <w:spacing w:line="360" w:lineRule="auto"/>
        <w:jc w:val="both"/>
      </w:pPr>
      <w:r>
        <w:t>Despite these advancements, global interoperability remains limited. Different national regulations around AML/CFT, data protection, and foreign exchange controls complicate seamless integration. The lack of harmonized standards for digital identity also hinders the global scalability of FinTech services.</w:t>
      </w:r>
    </w:p>
    <w:p w14:paraId="3DDBF82B">
      <w:pPr>
        <w:pStyle w:val="2"/>
        <w:spacing w:line="360" w:lineRule="auto"/>
        <w:jc w:val="both"/>
        <w:rPr>
          <w:sz w:val="28"/>
          <w:szCs w:val="28"/>
        </w:rPr>
      </w:pPr>
      <w:r>
        <w:rPr>
          <w:rStyle w:val="12"/>
          <w:b/>
          <w:bCs/>
        </w:rPr>
        <w:t xml:space="preserve"> </w:t>
      </w:r>
      <w:r>
        <w:rPr>
          <w:rStyle w:val="12"/>
          <w:b/>
          <w:bCs/>
          <w:sz w:val="28"/>
          <w:szCs w:val="28"/>
        </w:rPr>
        <w:t>Blockchain, Cryptocurrencies, and DeFi in International Finance</w:t>
      </w:r>
    </w:p>
    <w:p w14:paraId="3ACC6E66">
      <w:pPr>
        <w:pStyle w:val="10"/>
        <w:spacing w:line="360" w:lineRule="auto"/>
        <w:jc w:val="both"/>
      </w:pPr>
      <w:r>
        <w:t>Blockchain technology and decentralized finance (DeFi) are rapidly emerging as influential components of global financial infrastructure.</w:t>
      </w:r>
    </w:p>
    <w:p w14:paraId="4FB424A8">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Blockchain as an Infrastructure Layer</w:t>
      </w:r>
    </w:p>
    <w:p w14:paraId="4CEF268F">
      <w:pPr>
        <w:pStyle w:val="10"/>
        <w:spacing w:line="360" w:lineRule="auto"/>
        <w:jc w:val="both"/>
      </w:pPr>
      <w:r>
        <w:t>Blockchain offers a transparent, tamper-proof ledger ideal for tracking international transactions, verifying identities, and reducing settlement risks. Financial institutions are increasingly piloting permissioned blockchain networks for trade finance, supply chain verification, and digital asset settlement.</w:t>
      </w:r>
    </w:p>
    <w:p w14:paraId="0DA71A83">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Cryptocurrencies as International Payment Tools</w:t>
      </w:r>
    </w:p>
    <w:p w14:paraId="5EB0CFE8">
      <w:pPr>
        <w:pStyle w:val="10"/>
        <w:spacing w:line="360" w:lineRule="auto"/>
        <w:jc w:val="both"/>
      </w:pPr>
      <w:r>
        <w:t>Bitcoin and stablecoins (e.g., USDC, USDT) are used for remittances, international trade, and asset transfers, especially in countries with weak currencies or capital controls. Stablecoins offer relative price stability and fast settlement, making them attractive for cross-border payments in emerging markets.</w:t>
      </w:r>
    </w:p>
    <w:p w14:paraId="4024D996">
      <w:pPr>
        <w:pStyle w:val="3"/>
        <w:spacing w:line="360" w:lineRule="auto"/>
        <w:jc w:val="both"/>
        <w:rPr>
          <w:rFonts w:ascii="Times New Roman" w:hAnsi="Times New Roman" w:cs="Times New Roman"/>
          <w:color w:val="auto"/>
          <w:sz w:val="28"/>
          <w:szCs w:val="28"/>
        </w:rPr>
      </w:pPr>
      <w:r>
        <w:rPr>
          <w:rStyle w:val="12"/>
          <w:rFonts w:ascii="Times New Roman" w:hAnsi="Times New Roman" w:cs="Times New Roman"/>
          <w:b/>
          <w:bCs/>
          <w:color w:val="auto"/>
          <w:sz w:val="28"/>
          <w:szCs w:val="28"/>
        </w:rPr>
        <w:t>Rise of DeFi Platforms</w:t>
      </w:r>
    </w:p>
    <w:p w14:paraId="60BC3551">
      <w:pPr>
        <w:pStyle w:val="10"/>
        <w:spacing w:line="360" w:lineRule="auto"/>
        <w:jc w:val="both"/>
      </w:pPr>
      <w:r>
        <w:t xml:space="preserve">DeFi protocols such as </w:t>
      </w:r>
      <w:r>
        <w:rPr>
          <w:rStyle w:val="12"/>
        </w:rPr>
        <w:t>Uniswap</w:t>
      </w:r>
      <w:r>
        <w:t xml:space="preserve">, </w:t>
      </w:r>
      <w:r>
        <w:rPr>
          <w:rStyle w:val="12"/>
        </w:rPr>
        <w:t>Aave</w:t>
      </w:r>
      <w:r>
        <w:t xml:space="preserve">, and </w:t>
      </w:r>
      <w:r>
        <w:rPr>
          <w:rStyle w:val="12"/>
        </w:rPr>
        <w:t>MakerDAO</w:t>
      </w:r>
      <w:r>
        <w:t xml:space="preserve"> facilitate lending, borrowing, and trading without intermediaries. These systems are open and borderless, offering global access to financial services—albeit without traditional consumer protections. Research by Schär (2021) suggests that DeFi could increase global financial democratization but notes liquidity, security, and regulatory risks.</w:t>
      </w:r>
    </w:p>
    <w:p w14:paraId="2F565EDC">
      <w:pPr>
        <w:pStyle w:val="3"/>
        <w:spacing w:line="360" w:lineRule="auto"/>
        <w:jc w:val="both"/>
        <w:rPr>
          <w:rFonts w:ascii="Times New Roman" w:hAnsi="Times New Roman" w:cs="Times New Roman"/>
          <w:b w:val="0"/>
          <w:color w:val="auto"/>
          <w:sz w:val="28"/>
          <w:szCs w:val="28"/>
        </w:rPr>
      </w:pPr>
      <w:r>
        <w:rPr>
          <w:rStyle w:val="12"/>
          <w:rFonts w:ascii="Times New Roman" w:hAnsi="Times New Roman" w:cs="Times New Roman"/>
          <w:b/>
          <w:bCs/>
          <w:color w:val="auto"/>
          <w:sz w:val="28"/>
          <w:szCs w:val="28"/>
        </w:rPr>
        <w:t>Key Risks and Uncertainties</w:t>
      </w:r>
    </w:p>
    <w:p w14:paraId="1F81F01F">
      <w:pPr>
        <w:pStyle w:val="10"/>
        <w:spacing w:line="360" w:lineRule="auto"/>
        <w:jc w:val="both"/>
      </w:pPr>
      <w:r>
        <w:t>Despite their potential, DeFi and crypto platforms face:</w:t>
      </w:r>
    </w:p>
    <w:p w14:paraId="56E592B4">
      <w:pPr>
        <w:pStyle w:val="10"/>
        <w:numPr>
          <w:ilvl w:val="0"/>
          <w:numId w:val="2"/>
        </w:numPr>
        <w:spacing w:line="360" w:lineRule="auto"/>
        <w:jc w:val="both"/>
      </w:pPr>
      <w:r>
        <w:rPr>
          <w:rStyle w:val="12"/>
        </w:rPr>
        <w:t>Regulatory ambiguity:</w:t>
      </w:r>
      <w:r>
        <w:t xml:space="preserve"> Especially in areas like taxation, AML, and securities laws.</w:t>
      </w:r>
    </w:p>
    <w:p w14:paraId="4039DB22">
      <w:pPr>
        <w:pStyle w:val="10"/>
        <w:numPr>
          <w:ilvl w:val="0"/>
          <w:numId w:val="2"/>
        </w:numPr>
        <w:spacing w:line="360" w:lineRule="auto"/>
        <w:jc w:val="both"/>
      </w:pPr>
      <w:r>
        <w:rPr>
          <w:rStyle w:val="12"/>
        </w:rPr>
        <w:t>Volatility and systemic risk:</w:t>
      </w:r>
      <w:r>
        <w:t xml:space="preserve"> Especially for cryptocurrencies with speculative value.</w:t>
      </w:r>
    </w:p>
    <w:p w14:paraId="069875BB">
      <w:pPr>
        <w:pStyle w:val="10"/>
        <w:numPr>
          <w:ilvl w:val="0"/>
          <w:numId w:val="2"/>
        </w:numPr>
        <w:spacing w:line="360" w:lineRule="auto"/>
        <w:jc w:val="both"/>
      </w:pPr>
      <w:r>
        <w:rPr>
          <w:rStyle w:val="12"/>
        </w:rPr>
        <w:t>Cybersecurity concerns:</w:t>
      </w:r>
      <w:r>
        <w:t xml:space="preserve"> Smart contract vulnerabilities and hacking incidents (e.g., Poly Network, Curve Finance) highlight systemic weaknesses.</w:t>
      </w:r>
    </w:p>
    <w:p w14:paraId="21E93A43">
      <w:pPr>
        <w:pStyle w:val="2"/>
        <w:spacing w:line="360" w:lineRule="auto"/>
        <w:rPr>
          <w:sz w:val="28"/>
          <w:szCs w:val="28"/>
        </w:rPr>
      </w:pPr>
      <w:r>
        <w:rPr>
          <w:rStyle w:val="12"/>
          <w:b/>
          <w:bCs/>
          <w:sz w:val="28"/>
          <w:szCs w:val="28"/>
        </w:rPr>
        <w:t>Development of Central Bank Digital Currencies (CBDCs) and Their Implications for Cross-Border Monetary Interactions</w:t>
      </w:r>
    </w:p>
    <w:p w14:paraId="0B6CE014">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Overview of CBDCs</w:t>
      </w:r>
    </w:p>
    <w:p w14:paraId="6ADD1A88">
      <w:pPr>
        <w:pStyle w:val="10"/>
        <w:spacing w:line="360" w:lineRule="auto"/>
        <w:jc w:val="both"/>
      </w:pPr>
      <w:r>
        <w:t>Central Bank Digital Currencies (CBDCs) are digital forms of fiat currency issued and regulated by a country’s central bank. Unlike cryptocurrencies such as Bitcoin, CBDCs represent a liability of the central bank and are designed to serve as legal tender. Many central banks worldwide are exploring CBDCs as a response to the rise of private digital currencies and the increasing digitalization of payments.</w:t>
      </w:r>
    </w:p>
    <w:p w14:paraId="3F4FC73F">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sz w:val="24"/>
          <w:szCs w:val="24"/>
        </w:rPr>
        <w:t xml:space="preserve"> </w:t>
      </w:r>
      <w:r>
        <w:rPr>
          <w:rStyle w:val="12"/>
          <w:rFonts w:ascii="Times New Roman" w:hAnsi="Times New Roman" w:cs="Times New Roman"/>
          <w:b/>
          <w:bCs/>
          <w:color w:val="auto"/>
          <w:sz w:val="24"/>
          <w:szCs w:val="24"/>
        </w:rPr>
        <w:t>Motivations for CBDC Adoption</w:t>
      </w:r>
    </w:p>
    <w:p w14:paraId="729B8EAE">
      <w:pPr>
        <w:pStyle w:val="10"/>
        <w:spacing w:line="360" w:lineRule="auto"/>
        <w:jc w:val="both"/>
      </w:pPr>
      <w:r>
        <w:t>CBDCs aim to enhance payment efficiency, reduce transaction costs, increase financial inclusion, and improve monetary policy transmission. For international finance, CBDCs have the potential to revolutionize cross-border payments by providing:</w:t>
      </w:r>
    </w:p>
    <w:p w14:paraId="54BD9E66">
      <w:pPr>
        <w:pStyle w:val="10"/>
        <w:numPr>
          <w:ilvl w:val="0"/>
          <w:numId w:val="3"/>
        </w:numPr>
        <w:spacing w:line="360" w:lineRule="auto"/>
        <w:jc w:val="both"/>
      </w:pPr>
      <w:r>
        <w:t>Faster settlement times</w:t>
      </w:r>
    </w:p>
    <w:p w14:paraId="09728C32">
      <w:pPr>
        <w:pStyle w:val="10"/>
        <w:numPr>
          <w:ilvl w:val="0"/>
          <w:numId w:val="3"/>
        </w:numPr>
        <w:spacing w:line="360" w:lineRule="auto"/>
        <w:jc w:val="both"/>
      </w:pPr>
      <w:r>
        <w:t>Reduced reliance on correspondent banking networks</w:t>
      </w:r>
    </w:p>
    <w:p w14:paraId="0A79052D">
      <w:pPr>
        <w:pStyle w:val="10"/>
        <w:numPr>
          <w:ilvl w:val="0"/>
          <w:numId w:val="3"/>
        </w:numPr>
        <w:spacing w:line="360" w:lineRule="auto"/>
        <w:jc w:val="both"/>
      </w:pPr>
      <w:r>
        <w:t>Lower transaction costs</w:t>
      </w:r>
    </w:p>
    <w:p w14:paraId="5FC84CDD">
      <w:pPr>
        <w:pStyle w:val="10"/>
        <w:numPr>
          <w:ilvl w:val="0"/>
          <w:numId w:val="3"/>
        </w:numPr>
        <w:spacing w:line="360" w:lineRule="auto"/>
        <w:jc w:val="both"/>
      </w:pPr>
      <w:r>
        <w:t>Enhanced transparency and traceability</w:t>
      </w:r>
    </w:p>
    <w:p w14:paraId="223998FF">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Cross-Border CBDC Initiatives</w:t>
      </w:r>
    </w:p>
    <w:p w14:paraId="16AF38E5">
      <w:pPr>
        <w:pStyle w:val="10"/>
        <w:spacing w:line="360" w:lineRule="auto"/>
        <w:jc w:val="both"/>
      </w:pPr>
      <w:r>
        <w:t xml:space="preserve">Collaborative pilot projects such as the </w:t>
      </w:r>
      <w:r>
        <w:rPr>
          <w:rStyle w:val="12"/>
        </w:rPr>
        <w:t>BIS mBridge Project</w:t>
      </w:r>
      <w:r>
        <w:t xml:space="preserve"> and </w:t>
      </w:r>
      <w:r>
        <w:rPr>
          <w:rStyle w:val="12"/>
        </w:rPr>
        <w:t>Project Dunbar</w:t>
      </w:r>
      <w:r>
        <w:t xml:space="preserve"> involve multiple central banks (e.g., Hong Kong, UAE, Thailand, China, and Australia) exploring multi-CBDC platforms for real-time cross-border settlements. These initiatives focus on interoperability, liquidity management, and compliance with international regulatory standards.</w:t>
      </w:r>
    </w:p>
    <w:p w14:paraId="5B265CE4">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Implications for Monetary Sovereignty and Exchange Rates</w:t>
      </w:r>
    </w:p>
    <w:p w14:paraId="69C67D67">
      <w:pPr>
        <w:pStyle w:val="10"/>
        <w:spacing w:line="360" w:lineRule="auto"/>
        <w:jc w:val="both"/>
      </w:pPr>
      <w:r>
        <w:t>CBDCs could alter traditional mechanisms of international monetary interactions:</w:t>
      </w:r>
    </w:p>
    <w:p w14:paraId="7EC5CBCE">
      <w:pPr>
        <w:pStyle w:val="10"/>
        <w:numPr>
          <w:ilvl w:val="0"/>
          <w:numId w:val="4"/>
        </w:numPr>
        <w:spacing w:line="360" w:lineRule="auto"/>
        <w:jc w:val="both"/>
      </w:pPr>
      <w:r>
        <w:t>Countries issuing CBDCs might experience shifts in capital flows due to easier access to foreign currencies.</w:t>
      </w:r>
    </w:p>
    <w:p w14:paraId="0528938D">
      <w:pPr>
        <w:pStyle w:val="10"/>
        <w:numPr>
          <w:ilvl w:val="0"/>
          <w:numId w:val="4"/>
        </w:numPr>
        <w:spacing w:line="360" w:lineRule="auto"/>
        <w:jc w:val="both"/>
      </w:pPr>
      <w:r>
        <w:t>The digital and programmable nature of CBDCs could allow central banks to enforce capital controls or monetary policy in novel ways.</w:t>
      </w:r>
    </w:p>
    <w:p w14:paraId="00B1497D">
      <w:pPr>
        <w:pStyle w:val="10"/>
        <w:numPr>
          <w:ilvl w:val="0"/>
          <w:numId w:val="4"/>
        </w:numPr>
        <w:spacing w:line="360" w:lineRule="auto"/>
        <w:jc w:val="both"/>
      </w:pPr>
      <w:r>
        <w:t>There is a risk that dominant CBDCs (e.g., digital dollar or digital euro) might increase currency substitution or “digital dollarization” in smaller economies, impacting their monetary sovereignty.</w:t>
      </w:r>
    </w:p>
    <w:p w14:paraId="2C5CFBE8">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Challenges and Considerations</w:t>
      </w:r>
    </w:p>
    <w:p w14:paraId="0638AF4E">
      <w:pPr>
        <w:pStyle w:val="10"/>
        <w:spacing w:line="360" w:lineRule="auto"/>
        <w:jc w:val="both"/>
      </w:pPr>
      <w:r>
        <w:t>The development and international integration of CBDCs face significant challenges:</w:t>
      </w:r>
    </w:p>
    <w:p w14:paraId="47A9EEE8">
      <w:pPr>
        <w:pStyle w:val="10"/>
        <w:numPr>
          <w:ilvl w:val="0"/>
          <w:numId w:val="5"/>
        </w:numPr>
        <w:spacing w:line="360" w:lineRule="auto"/>
        <w:jc w:val="both"/>
      </w:pPr>
      <w:r>
        <w:t>Legal and regulatory frameworks need to be harmonized across borders.</w:t>
      </w:r>
    </w:p>
    <w:p w14:paraId="5D3F18E0">
      <w:pPr>
        <w:pStyle w:val="10"/>
        <w:numPr>
          <w:ilvl w:val="0"/>
          <w:numId w:val="5"/>
        </w:numPr>
        <w:spacing w:line="360" w:lineRule="auto"/>
        <w:jc w:val="both"/>
      </w:pPr>
      <w:r>
        <w:t>Privacy concerns must be balanced with transparency and AML/CFT requirements.</w:t>
      </w:r>
    </w:p>
    <w:p w14:paraId="58AA42C2">
      <w:pPr>
        <w:pStyle w:val="10"/>
        <w:numPr>
          <w:ilvl w:val="0"/>
          <w:numId w:val="5"/>
        </w:numPr>
        <w:spacing w:line="360" w:lineRule="auto"/>
        <w:jc w:val="both"/>
      </w:pPr>
      <w:r>
        <w:t>Technical interoperability between different CBDC systems must be ensured to enable seamless transactions.</w:t>
      </w:r>
    </w:p>
    <w:p w14:paraId="16CFF035">
      <w:pPr>
        <w:pStyle w:val="10"/>
        <w:numPr>
          <w:ilvl w:val="0"/>
          <w:numId w:val="5"/>
        </w:numPr>
        <w:spacing w:line="360" w:lineRule="auto"/>
        <w:jc w:val="both"/>
      </w:pPr>
      <w:r>
        <w:t>The impact on existing financial intermediaries and systemic stability must be carefully managed.</w:t>
      </w:r>
    </w:p>
    <w:p w14:paraId="423EF207">
      <w:pPr>
        <w:pStyle w:val="10"/>
        <w:spacing w:line="360" w:lineRule="auto"/>
        <w:ind w:left="360"/>
        <w:jc w:val="both"/>
        <w:rPr>
          <w:sz w:val="28"/>
          <w:szCs w:val="28"/>
        </w:rPr>
      </w:pPr>
      <w:r>
        <w:rPr>
          <w:rStyle w:val="12"/>
          <w:sz w:val="28"/>
          <w:szCs w:val="28"/>
        </w:rPr>
        <w:t>Regulatory and Risk Management Challenges Arising from FinTech Innovations</w:t>
      </w:r>
    </w:p>
    <w:p w14:paraId="03D7C90B">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Regulatory Fragmentation and Arbitrage</w:t>
      </w:r>
    </w:p>
    <w:p w14:paraId="08485DF3">
      <w:pPr>
        <w:pStyle w:val="10"/>
        <w:spacing w:line="360" w:lineRule="auto"/>
        <w:jc w:val="both"/>
      </w:pPr>
      <w:r>
        <w:t>The rapid evolution of FinTech has outpaced regulatory frameworks, leading to fragmentation across jurisdictions. Differences in AML/CFT rules, data protection laws, and licensing requirements create opportunities for regulatory arbitrage, where firms exploit gaps between countries to minimize compliance burdens. This fragmentation complicates cross-border supervision and risk management.</w:t>
      </w:r>
    </w:p>
    <w:p w14:paraId="5B48FA88">
      <w:pPr>
        <w:pStyle w:val="3"/>
        <w:spacing w:line="360" w:lineRule="auto"/>
        <w:jc w:val="both"/>
        <w:rPr>
          <w:rFonts w:ascii="Times New Roman" w:hAnsi="Times New Roman" w:cs="Times New Roman"/>
          <w:color w:val="000000" w:themeColor="text1"/>
          <w:sz w:val="24"/>
          <w:szCs w:val="24"/>
          <w14:textFill>
            <w14:solidFill>
              <w14:schemeClr w14:val="tx1"/>
            </w14:solidFill>
          </w14:textFill>
        </w:rPr>
      </w:pPr>
      <w:r>
        <w:rPr>
          <w:rStyle w:val="12"/>
          <w:rFonts w:ascii="Times New Roman" w:hAnsi="Times New Roman" w:cs="Times New Roman"/>
          <w:b/>
          <w:bCs/>
          <w:color w:val="000000" w:themeColor="text1"/>
          <w:sz w:val="24"/>
          <w:szCs w:val="24"/>
          <w14:textFill>
            <w14:solidFill>
              <w14:schemeClr w14:val="tx1"/>
            </w14:solidFill>
          </w14:textFill>
        </w:rPr>
        <w:t>Cybersecurity and Data Privacy Risks</w:t>
      </w:r>
    </w:p>
    <w:p w14:paraId="19C029A5">
      <w:pPr>
        <w:pStyle w:val="10"/>
        <w:spacing w:line="360" w:lineRule="auto"/>
        <w:jc w:val="both"/>
      </w:pPr>
      <w:r>
        <w:t>FinTech’s reliance on digital infrastructure heightens exposure to cyberattacks, data breaches, and operational failures. High-profile incidents such as data leaks and smart contract exploits highlight the vulnerability of both centralized and decentralized financial systems. Regulators are tasked with enforcing robust cybersecurity standards while ensuring consumer data privacy.</w:t>
      </w:r>
    </w:p>
    <w:p w14:paraId="7C0A6A8A">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Consumer Protection and Financial Stability</w:t>
      </w:r>
    </w:p>
    <w:p w14:paraId="36A63AE7">
      <w:pPr>
        <w:pStyle w:val="10"/>
        <w:spacing w:line="360" w:lineRule="auto"/>
        <w:jc w:val="both"/>
      </w:pPr>
      <w:r>
        <w:t>The complexity and novelty of FinTech products pose risks to consumers unfamiliar with digital financial services. Mis-selling, fraud, and insufficient recourse mechanisms undermine trust. Additionally, the interconnectedness of digital platforms may introduce systemic risks that traditional prudential regulations are ill-equipped to address.</w:t>
      </w:r>
    </w:p>
    <w:p w14:paraId="222E72AE">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Challenges in Anti-Money Laundering (AML) and Countering the Financing of Terrorism (CFT)</w:t>
      </w:r>
    </w:p>
    <w:p w14:paraId="6AF250FA">
      <w:pPr>
        <w:pStyle w:val="10"/>
        <w:spacing w:line="360" w:lineRule="auto"/>
        <w:jc w:val="both"/>
      </w:pPr>
      <w:r>
        <w:t>The anonymity and borderless nature of certain FinTech applications—particularly cryptocurrencies and DeFi—make AML/CFT enforcement difficult. Ensuring compliance requires enhanced international cooperation, adoption of digital identity standards, and improved transaction monitoring technologies.</w:t>
      </w:r>
    </w:p>
    <w:p w14:paraId="6D1989DE">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Regulatory Sandboxes and Innovation Hubs</w:t>
      </w:r>
    </w:p>
    <w:p w14:paraId="07CAFE04">
      <w:pPr>
        <w:pStyle w:val="10"/>
        <w:spacing w:line="360" w:lineRule="auto"/>
        <w:jc w:val="both"/>
      </w:pPr>
      <w:r>
        <w:t>Many jurisdictions have implemented regulatory sandboxes to encourage innovation while controlling risk. These experimental frameworks allow FinTech firms to test new products under regulatory supervision. Examples include the UK’s FCA sandbox, Singapore’s MAS FinTech regulatory sandbox, and similar initiatives worldwide. While beneficial, sandboxes must evolve to scale innovations safely.</w:t>
      </w:r>
    </w:p>
    <w:p w14:paraId="117F9661">
      <w:pPr>
        <w:pStyle w:val="3"/>
        <w:spacing w:line="360" w:lineRule="auto"/>
        <w:jc w:val="both"/>
        <w:rPr>
          <w:rFonts w:ascii="Times New Roman" w:hAnsi="Times New Roman" w:cs="Times New Roman"/>
          <w:color w:val="auto"/>
          <w:sz w:val="24"/>
          <w:szCs w:val="24"/>
        </w:rPr>
      </w:pPr>
      <w:r>
        <w:rPr>
          <w:rStyle w:val="12"/>
          <w:rFonts w:ascii="Times New Roman" w:hAnsi="Times New Roman" w:cs="Times New Roman"/>
          <w:b/>
          <w:bCs/>
          <w:color w:val="auto"/>
          <w:sz w:val="24"/>
          <w:szCs w:val="24"/>
        </w:rPr>
        <w:t>The Need for Global Coordination</w:t>
      </w:r>
    </w:p>
    <w:p w14:paraId="66B8C02F">
      <w:pPr>
        <w:pStyle w:val="10"/>
        <w:spacing w:line="360" w:lineRule="auto"/>
        <w:jc w:val="both"/>
      </w:pPr>
      <w:r>
        <w:t xml:space="preserve">Given the inherently cross-border nature of FinTech, global cooperation is essential. Institutions such as the </w:t>
      </w:r>
      <w:r>
        <w:rPr>
          <w:rStyle w:val="12"/>
        </w:rPr>
        <w:t>Financial Stability Board (FSB)</w:t>
      </w:r>
      <w:r>
        <w:t xml:space="preserve">, </w:t>
      </w:r>
      <w:r>
        <w:rPr>
          <w:rStyle w:val="12"/>
        </w:rPr>
        <w:t>BIS</w:t>
      </w:r>
      <w:r>
        <w:t xml:space="preserve">, and </w:t>
      </w:r>
      <w:r>
        <w:rPr>
          <w:rStyle w:val="12"/>
        </w:rPr>
        <w:t>Financial Action Task Force (FATF)</w:t>
      </w:r>
      <w:r>
        <w:t xml:space="preserve"> are working to develop principles and guidelines to harmonize FinTech regulation. However, political, legal, and economic differences among countries complicate these efforts.</w:t>
      </w:r>
    </w:p>
    <w:p w14:paraId="58B1A6B6">
      <w:pPr>
        <w:pStyle w:val="2"/>
        <w:spacing w:line="360" w:lineRule="auto"/>
        <w:rPr>
          <w:rStyle w:val="12"/>
          <w:b/>
          <w:bCs/>
          <w:sz w:val="28"/>
          <w:szCs w:val="28"/>
        </w:rPr>
      </w:pPr>
    </w:p>
    <w:p w14:paraId="32557394">
      <w:pPr>
        <w:pStyle w:val="2"/>
        <w:spacing w:line="360" w:lineRule="auto"/>
        <w:rPr>
          <w:sz w:val="28"/>
          <w:szCs w:val="28"/>
        </w:rPr>
      </w:pPr>
      <w:r>
        <w:rPr>
          <w:rStyle w:val="12"/>
          <w:b/>
          <w:bCs/>
          <w:sz w:val="28"/>
          <w:szCs w:val="28"/>
        </w:rPr>
        <w:t>Conclusion</w:t>
      </w:r>
    </w:p>
    <w:p w14:paraId="133FB7FB">
      <w:pPr>
        <w:pStyle w:val="10"/>
        <w:spacing w:line="360" w:lineRule="auto"/>
        <w:jc w:val="both"/>
      </w:pPr>
      <w:r>
        <w:t>This paper has explored how digitalization and FinTech are reshaping international finance through innovations in payment systems, decentralized finance, central bank digital currencies, and the growing role of FinTech in developing economies. The research highlights several key findings:</w:t>
      </w:r>
    </w:p>
    <w:p w14:paraId="0E81C90A">
      <w:pPr>
        <w:pStyle w:val="10"/>
        <w:numPr>
          <w:ilvl w:val="0"/>
          <w:numId w:val="6"/>
        </w:numPr>
        <w:spacing w:line="360" w:lineRule="auto"/>
        <w:jc w:val="both"/>
      </w:pPr>
      <w:r>
        <w:rPr>
          <w:rStyle w:val="12"/>
        </w:rPr>
        <w:t>Digitalization trends</w:t>
      </w:r>
      <w:r>
        <w:t>, such as the rise of neobanks, AI-driven credit assessments, and real-time payment infrastructures, are transforming the global financial landscape by increasing efficiency, reducing costs, and expanding access.</w:t>
      </w:r>
    </w:p>
    <w:p w14:paraId="240A4898">
      <w:pPr>
        <w:pStyle w:val="10"/>
        <w:numPr>
          <w:ilvl w:val="0"/>
          <w:numId w:val="6"/>
        </w:numPr>
        <w:spacing w:line="360" w:lineRule="auto"/>
        <w:jc w:val="both"/>
      </w:pPr>
      <w:r>
        <w:rPr>
          <w:rStyle w:val="12"/>
        </w:rPr>
        <w:t>FinTech innovations</w:t>
      </w:r>
      <w:r>
        <w:t xml:space="preserve"> have significantly improved cross-border payments, reducing transaction times and fees, thereby enhancing financial inclusion and supporting international trade and remittances.</w:t>
      </w:r>
    </w:p>
    <w:p w14:paraId="398FBF65">
      <w:pPr>
        <w:pStyle w:val="10"/>
        <w:numPr>
          <w:ilvl w:val="0"/>
          <w:numId w:val="6"/>
        </w:numPr>
        <w:spacing w:line="360" w:lineRule="auto"/>
        <w:jc w:val="both"/>
      </w:pPr>
      <w:r>
        <w:t xml:space="preserve">The emergence of </w:t>
      </w:r>
      <w:r>
        <w:rPr>
          <w:rStyle w:val="12"/>
        </w:rPr>
        <w:t>blockchain technology, cryptocurrencies, and DeFi platforms</w:t>
      </w:r>
      <w:r>
        <w:t xml:space="preserve"> introduces both opportunities for democratizing finance and challenges related to volatility, regulatory ambiguity, and security risks.</w:t>
      </w:r>
    </w:p>
    <w:p w14:paraId="5AAE46CE">
      <w:pPr>
        <w:pStyle w:val="10"/>
        <w:numPr>
          <w:ilvl w:val="0"/>
          <w:numId w:val="6"/>
        </w:numPr>
        <w:spacing w:line="360" w:lineRule="auto"/>
        <w:jc w:val="both"/>
      </w:pPr>
      <w:r>
        <w:t xml:space="preserve">The development of </w:t>
      </w:r>
      <w:r>
        <w:rPr>
          <w:rStyle w:val="12"/>
        </w:rPr>
        <w:t>Central Bank Digital Currencies (CBDCs)</w:t>
      </w:r>
      <w:r>
        <w:t xml:space="preserve"> holds promise for revolutionizing cross-border monetary interactions, though they raise complex questions about monetary sovereignty, privacy, and interoperability.</w:t>
      </w:r>
    </w:p>
    <w:p w14:paraId="6ADF20C1">
      <w:pPr>
        <w:pStyle w:val="10"/>
        <w:numPr>
          <w:ilvl w:val="0"/>
          <w:numId w:val="6"/>
        </w:numPr>
        <w:spacing w:line="360" w:lineRule="auto"/>
        <w:jc w:val="both"/>
      </w:pPr>
      <w:r>
        <w:t xml:space="preserve">In </w:t>
      </w:r>
      <w:r>
        <w:rPr>
          <w:rStyle w:val="12"/>
        </w:rPr>
        <w:t>developing economies</w:t>
      </w:r>
      <w:r>
        <w:t>, FinTech has demonstrated notable impacts on financial inclusion, credit access, and remittance efficiency, but infrastructure gaps, regulatory uncertainty, and digital literacy barriers remain significant hurdles.</w:t>
      </w:r>
    </w:p>
    <w:p w14:paraId="0CF876BD">
      <w:pPr>
        <w:pStyle w:val="10"/>
        <w:numPr>
          <w:ilvl w:val="0"/>
          <w:numId w:val="6"/>
        </w:numPr>
        <w:spacing w:line="360" w:lineRule="auto"/>
        <w:jc w:val="both"/>
      </w:pPr>
      <w:r>
        <w:t>The rapid growth of FinTech has outpaced regulatory frameworks, highlighting the need for coordinated global approaches to address risks related to cybersecurity, consumer protection, anti-money laundering, and systemic stability.</w:t>
      </w:r>
    </w:p>
    <w:p w14:paraId="32EFF66B">
      <w:pPr>
        <w:pStyle w:val="3"/>
        <w:spacing w:line="360" w:lineRule="auto"/>
        <w:jc w:val="both"/>
        <w:rPr>
          <w:rFonts w:ascii="Times New Roman" w:hAnsi="Times New Roman" w:cs="Times New Roman"/>
          <w:color w:val="auto"/>
          <w:sz w:val="28"/>
          <w:szCs w:val="28"/>
        </w:rPr>
      </w:pPr>
      <w:r>
        <w:rPr>
          <w:rStyle w:val="12"/>
          <w:rFonts w:ascii="Times New Roman" w:hAnsi="Times New Roman" w:cs="Times New Roman"/>
          <w:b/>
          <w:bCs/>
          <w:color w:val="auto"/>
          <w:sz w:val="28"/>
          <w:szCs w:val="28"/>
        </w:rPr>
        <w:t>Directions for Future Research</w:t>
      </w:r>
    </w:p>
    <w:p w14:paraId="3ACD44D5">
      <w:pPr>
        <w:pStyle w:val="10"/>
        <w:spacing w:line="360" w:lineRule="auto"/>
        <w:jc w:val="both"/>
      </w:pPr>
      <w:r>
        <w:t>Building on these insights, future research should focus on:</w:t>
      </w:r>
    </w:p>
    <w:p w14:paraId="6FD670AC">
      <w:pPr>
        <w:pStyle w:val="10"/>
        <w:numPr>
          <w:ilvl w:val="0"/>
          <w:numId w:val="7"/>
        </w:numPr>
        <w:spacing w:line="360" w:lineRule="auto"/>
        <w:jc w:val="both"/>
      </w:pPr>
      <w:r>
        <w:t xml:space="preserve">Empirical analysis of the </w:t>
      </w:r>
      <w:r>
        <w:rPr>
          <w:rStyle w:val="12"/>
        </w:rPr>
        <w:t>long-term macroeconomic impacts</w:t>
      </w:r>
      <w:r>
        <w:t xml:space="preserve"> of FinTech and CBDCs on capital flows, exchange rate stability, and monetary policy effectiveness.</w:t>
      </w:r>
    </w:p>
    <w:p w14:paraId="10AD79C3">
      <w:pPr>
        <w:pStyle w:val="10"/>
        <w:numPr>
          <w:ilvl w:val="0"/>
          <w:numId w:val="7"/>
        </w:numPr>
        <w:spacing w:line="360" w:lineRule="auto"/>
        <w:jc w:val="both"/>
      </w:pPr>
      <w:r>
        <w:t xml:space="preserve">Comparative studies of </w:t>
      </w:r>
      <w:r>
        <w:rPr>
          <w:rStyle w:val="12"/>
        </w:rPr>
        <w:t>regulatory frameworks</w:t>
      </w:r>
      <w:r>
        <w:t xml:space="preserve"> across different jurisdictions to identify best practices for balancing innovation with risk mitigation.</w:t>
      </w:r>
    </w:p>
    <w:p w14:paraId="6A24EA4E">
      <w:pPr>
        <w:pStyle w:val="10"/>
        <w:numPr>
          <w:ilvl w:val="0"/>
          <w:numId w:val="7"/>
        </w:numPr>
        <w:spacing w:line="360" w:lineRule="auto"/>
        <w:jc w:val="both"/>
      </w:pPr>
      <w:r>
        <w:t xml:space="preserve">Deeper investigation into the </w:t>
      </w:r>
      <w:r>
        <w:rPr>
          <w:rStyle w:val="12"/>
        </w:rPr>
        <w:t>social and economic effects</w:t>
      </w:r>
      <w:r>
        <w:t xml:space="preserve"> of FinTech adoption in marginalized populations, particularly in rural and underserved regions.</w:t>
      </w:r>
    </w:p>
    <w:p w14:paraId="253DA295">
      <w:pPr>
        <w:pStyle w:val="10"/>
        <w:numPr>
          <w:ilvl w:val="0"/>
          <w:numId w:val="7"/>
        </w:numPr>
        <w:spacing w:line="360" w:lineRule="auto"/>
        <w:jc w:val="both"/>
      </w:pPr>
      <w:r>
        <w:t xml:space="preserve">Technical research into </w:t>
      </w:r>
      <w:r>
        <w:rPr>
          <w:rStyle w:val="12"/>
        </w:rPr>
        <w:t>interoperability standards and privacy-preserving technologies</w:t>
      </w:r>
      <w:r>
        <w:t xml:space="preserve"> for cross-border digital financial systems.</w:t>
      </w:r>
    </w:p>
    <w:p w14:paraId="4892E55A">
      <w:pPr>
        <w:pStyle w:val="10"/>
        <w:numPr>
          <w:ilvl w:val="0"/>
          <w:numId w:val="7"/>
        </w:numPr>
        <w:spacing w:line="360" w:lineRule="auto"/>
        <w:jc w:val="both"/>
      </w:pPr>
      <w:r>
        <w:t xml:space="preserve">Exploration of the evolving relationship between </w:t>
      </w:r>
      <w:r>
        <w:rPr>
          <w:rStyle w:val="12"/>
        </w:rPr>
        <w:t>private digital currencies and sovereign CBDCs</w:t>
      </w:r>
      <w:r>
        <w:t>, including competition, collaboration, and potential hybrid models.</w:t>
      </w:r>
    </w:p>
    <w:p w14:paraId="46758284">
      <w:pPr>
        <w:pStyle w:val="10"/>
        <w:spacing w:line="360" w:lineRule="auto"/>
        <w:jc w:val="both"/>
      </w:pPr>
      <w:r>
        <w:t>In sum, digitalization and FinTech represent both transformative opportunities and complex challenges for international finance. Harnessing their full potential requires interdisciplinary approaches, inclusive policy design, and robust global cooperation to build a resilient, equitable, and efficient digital financial ecosystem.</w:t>
      </w:r>
    </w:p>
    <w:p w14:paraId="251CCD1C">
      <w:pPr>
        <w:pStyle w:val="2"/>
        <w:spacing w:line="360" w:lineRule="auto"/>
        <w:rPr>
          <w:sz w:val="28"/>
          <w:szCs w:val="28"/>
        </w:rPr>
      </w:pPr>
      <w:r>
        <w:rPr>
          <w:sz w:val="28"/>
          <w:szCs w:val="28"/>
        </w:rPr>
        <w:t>References</w:t>
      </w:r>
    </w:p>
    <w:p w14:paraId="5CF565C4">
      <w:pPr>
        <w:pStyle w:val="10"/>
        <w:spacing w:line="360" w:lineRule="auto"/>
      </w:pPr>
      <w:r>
        <w:t xml:space="preserve">Arner, D. W., Barberis, J., &amp; Buckley, R. P. (2015). The evolution of FinTech: A new post-crisis paradigm? </w:t>
      </w:r>
      <w:r>
        <w:rPr>
          <w:rStyle w:val="6"/>
        </w:rPr>
        <w:t>Georgetown Journal of International Law, 47</w:t>
      </w:r>
      <w:r>
        <w:t>(4), 1271–1319.</w:t>
      </w:r>
    </w:p>
    <w:p w14:paraId="4D4DEBB1">
      <w:pPr>
        <w:pStyle w:val="10"/>
        <w:spacing w:line="360" w:lineRule="auto"/>
      </w:pPr>
      <w:r>
        <w:t xml:space="preserve">Auer, R., &amp; Böhme, R. (2021). Central bank digital currency: The quest for minimally invasive technology. </w:t>
      </w:r>
      <w:r>
        <w:rPr>
          <w:rStyle w:val="6"/>
        </w:rPr>
        <w:t>Bank for International Settlements Quarterly Review</w:t>
      </w:r>
      <w:r>
        <w:t>. https://www.bis.org/publ/qtrpdf/r_qt2103f.htm</w:t>
      </w:r>
    </w:p>
    <w:p w14:paraId="4157B6D3">
      <w:pPr>
        <w:pStyle w:val="10"/>
        <w:spacing w:line="360" w:lineRule="auto"/>
      </w:pPr>
      <w:r>
        <w:t>Nakamoto, S. (2008). Bitcoin: A peer-to-peer electronic cash system. https://bitcoin.org/bitcoin.pdf</w:t>
      </w:r>
    </w:p>
    <w:p w14:paraId="5D0D881B">
      <w:pPr>
        <w:pStyle w:val="10"/>
        <w:spacing w:line="360" w:lineRule="auto"/>
      </w:pPr>
      <w:r>
        <w:t xml:space="preserve">Schär, F. (2021). Decentralized finance: On blockchain- and smart contract-based financial markets. </w:t>
      </w:r>
      <w:r>
        <w:rPr>
          <w:rStyle w:val="6"/>
        </w:rPr>
        <w:t>Federal Reserve Bank of St. Louis Review, 103</w:t>
      </w:r>
      <w:r>
        <w:t>(2), 153–174. https://doi.org/10.20955/r.103.153-74</w:t>
      </w:r>
    </w:p>
    <w:p w14:paraId="6B2B4A46">
      <w:pPr>
        <w:pStyle w:val="10"/>
        <w:spacing w:line="360" w:lineRule="auto"/>
      </w:pPr>
      <w:r>
        <w:t xml:space="preserve">Suri, T., &amp; Jack, W. (2016). The long-run poverty and gender impacts of mobile money. </w:t>
      </w:r>
      <w:r>
        <w:rPr>
          <w:rStyle w:val="6"/>
        </w:rPr>
        <w:t>Science, 354</w:t>
      </w:r>
      <w:r>
        <w:t>(6317), 1288–1292. https://doi.org/10.1126/science.aah5309</w:t>
      </w:r>
    </w:p>
    <w:p w14:paraId="76CD50CB">
      <w:pPr>
        <w:pStyle w:val="10"/>
        <w:spacing w:line="360" w:lineRule="auto"/>
      </w:pPr>
      <w:r>
        <w:t xml:space="preserve">World Bank. (2020). </w:t>
      </w:r>
      <w:r>
        <w:rPr>
          <w:rStyle w:val="6"/>
        </w:rPr>
        <w:t>The Global Findex Database 2021: Financial inclusion, digital payments, and resilience in the age of COVID-19</w:t>
      </w:r>
      <w:r>
        <w:t xml:space="preserve">. World Bank Group. </w:t>
      </w:r>
      <w:r>
        <w:fldChar w:fldCharType="begin"/>
      </w:r>
      <w:r>
        <w:instrText xml:space="preserve"> HYPERLINK "https://globalfindex.worldbank.org/" \t "_new" </w:instrText>
      </w:r>
      <w:r>
        <w:fldChar w:fldCharType="separate"/>
      </w:r>
      <w:r>
        <w:rPr>
          <w:rStyle w:val="9"/>
          <w:rFonts w:eastAsiaTheme="majorEastAsia"/>
        </w:rPr>
        <w:t>https://globalfindex.worldbank.org/</w:t>
      </w:r>
      <w:r>
        <w:rPr>
          <w:rStyle w:val="9"/>
          <w:rFonts w:eastAsiaTheme="majorEastAsia"/>
        </w:rPr>
        <w:fldChar w:fldCharType="end"/>
      </w:r>
    </w:p>
    <w:p w14:paraId="3DA17535">
      <w:pPr>
        <w:pStyle w:val="10"/>
        <w:spacing w:line="360" w:lineRule="auto"/>
      </w:pPr>
      <w:r>
        <w:t xml:space="preserve">Zetzsche, D. A., Buckley, R. P., Arner, D. W., &amp; Barberis, J. N. (2020). Regulating a revolution: From regulatory sandboxes to smart regulation. </w:t>
      </w:r>
      <w:r>
        <w:rPr>
          <w:rStyle w:val="6"/>
        </w:rPr>
        <w:t>Fordham Journal of Corporate &amp; Financial Law, 23</w:t>
      </w:r>
      <w:r>
        <w:t>(1), 31–103.</w:t>
      </w:r>
    </w:p>
    <w:p w14:paraId="761A36A9">
      <w:pPr>
        <w:spacing w:line="360" w:lineRule="auto"/>
        <w:jc w:val="both"/>
        <w:rPr>
          <w:rFonts w:ascii="Times New Roman" w:hAnsi="Times New Roman" w:cs="Times New Roman"/>
          <w:sz w:val="24"/>
          <w:szCs w:val="24"/>
        </w:rPr>
      </w:pPr>
    </w:p>
    <w:sectPr>
      <w:type w:val="continuous"/>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ymbol">
    <w:panose1 w:val="05050102010706020507"/>
    <w:charset w:val="02"/>
    <w:family w:val="decorative"/>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712345203"/>
      <w:docPartObj>
        <w:docPartGallery w:val="autotext"/>
      </w:docPartObj>
    </w:sdtPr>
    <w:sdtEndPr>
      <w:rPr>
        <w:rStyle w:val="11"/>
      </w:rPr>
    </w:sdtEndPr>
    <w:sdtContent>
      <w:p w14:paraId="2C6D48C8">
        <w:pPr>
          <w:pStyle w:val="7"/>
          <w:framePr w:wrap="auto" w:vAnchor="text" w:hAnchor="margin" w:xAlign="center" w:y="1"/>
          <w:rPr>
            <w:rStyle w:val="11"/>
          </w:rPr>
        </w:pPr>
        <w:r>
          <w:rPr>
            <w:rStyle w:val="11"/>
          </w:rPr>
          <w:fldChar w:fldCharType="begin"/>
        </w:r>
        <w:r>
          <w:rPr>
            <w:rStyle w:val="11"/>
          </w:rPr>
          <w:instrText xml:space="preserve"> PAGE </w:instrText>
        </w:r>
        <w:r>
          <w:rPr>
            <w:rStyle w:val="11"/>
          </w:rPr>
          <w:fldChar w:fldCharType="separate"/>
        </w:r>
        <w:r>
          <w:rPr>
            <w:rStyle w:val="11"/>
          </w:rPr>
          <w:t>111</w:t>
        </w:r>
        <w:r>
          <w:rPr>
            <w:rStyle w:val="11"/>
          </w:rPr>
          <w:fldChar w:fldCharType="end"/>
        </w:r>
      </w:p>
    </w:sdtContent>
  </w:sdt>
  <w:p w14:paraId="75572D2F">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2042352532"/>
      <w:docPartObj>
        <w:docPartGallery w:val="autotext"/>
      </w:docPartObj>
    </w:sdtPr>
    <w:sdtEndPr>
      <w:rPr>
        <w:rStyle w:val="11"/>
      </w:rPr>
    </w:sdtEndPr>
    <w:sdtContent>
      <w:p w14:paraId="2A5B9592">
        <w:pPr>
          <w:pStyle w:val="7"/>
          <w:framePr w:wrap="auto" w:vAnchor="text" w:hAnchor="margin" w:xAlign="center" w:y="1"/>
          <w:rPr>
            <w:rStyle w:val="11"/>
          </w:rPr>
        </w:pPr>
        <w:r>
          <w:rPr>
            <w:rStyle w:val="11"/>
          </w:rPr>
          <w:fldChar w:fldCharType="begin"/>
        </w:r>
        <w:r>
          <w:rPr>
            <w:rStyle w:val="11"/>
          </w:rPr>
          <w:instrText xml:space="preserve"> PAGE </w:instrText>
        </w:r>
        <w:r>
          <w:rPr>
            <w:rStyle w:val="11"/>
          </w:rPr>
          <w:fldChar w:fldCharType="separate"/>
        </w:r>
        <w:r>
          <w:rPr>
            <w:rStyle w:val="11"/>
          </w:rPr>
          <w:fldChar w:fldCharType="end"/>
        </w:r>
      </w:p>
    </w:sdtContent>
  </w:sdt>
  <w:p w14:paraId="4BCA48E7">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7415F">
    <w:pPr>
      <w:pStyle w:val="8"/>
      <w:jc w:val="center"/>
      <w:rPr>
        <w:rStyle w:val="17"/>
        <w:b/>
        <w:bCs/>
        <w:color w:val="000000"/>
        <w:sz w:val="20"/>
        <w:szCs w:val="20"/>
      </w:rPr>
    </w:pPr>
    <w:r>
      <w:rPr>
        <w:sz w:val="20"/>
        <w:szCs w:val="20"/>
      </w:rPr>
      <w:drawing>
        <wp:anchor distT="0" distB="0" distL="0" distR="0" simplePos="0" relativeHeight="251659264" behindDoc="0" locked="0" layoutInCell="1" allowOverlap="1">
          <wp:simplePos x="0" y="0"/>
          <wp:positionH relativeFrom="column">
            <wp:posOffset>-33020</wp:posOffset>
          </wp:positionH>
          <wp:positionV relativeFrom="paragraph">
            <wp:posOffset>-43180</wp:posOffset>
          </wp:positionV>
          <wp:extent cx="532765" cy="648335"/>
          <wp:effectExtent l="0" t="0" r="635" b="6985"/>
          <wp:wrapNone/>
          <wp:docPr id="1116623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623525"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32765" cy="648335"/>
                  </a:xfrm>
                  <a:prstGeom prst="rect">
                    <a:avLst/>
                  </a:prstGeom>
                  <a:noFill/>
                  <a:ln>
                    <a:noFill/>
                  </a:ln>
                </pic:spPr>
              </pic:pic>
            </a:graphicData>
          </a:graphic>
        </wp:anchor>
      </w:drawing>
    </w:r>
  </w:p>
  <w:p w14:paraId="582EEA96">
    <w:pPr>
      <w:pStyle w:val="8"/>
      <w:jc w:val="center"/>
      <w:rPr>
        <w:rFonts w:hint="default" w:ascii="Times New Roman" w:hAnsi="Times New Roman" w:cs="Times New Roman"/>
        <w:sz w:val="20"/>
        <w:szCs w:val="20"/>
      </w:rPr>
    </w:pPr>
    <w:r>
      <w:rPr>
        <w:rStyle w:val="17"/>
        <w:rFonts w:hint="default" w:ascii="Times New Roman" w:hAnsi="Times New Roman" w:cs="Times New Roman"/>
        <w:b/>
        <w:bCs/>
        <w:color w:val="000000"/>
        <w:sz w:val="20"/>
        <w:szCs w:val="20"/>
      </w:rPr>
      <w:t>S</w:t>
    </w:r>
    <w:r>
      <w:rPr>
        <w:rStyle w:val="17"/>
        <w:rFonts w:hint="default" w:ascii="Times New Roman" w:hAnsi="Times New Roman" w:cs="Times New Roman"/>
        <w:b/>
        <w:bCs/>
        <w:color w:val="000000"/>
        <w:sz w:val="20"/>
        <w:szCs w:val="20"/>
        <w:lang w:val="en-US"/>
      </w:rPr>
      <w:t xml:space="preserve">        S</w:t>
    </w:r>
    <w:r>
      <w:rPr>
        <w:rStyle w:val="17"/>
        <w:rFonts w:hint="default" w:ascii="Times New Roman" w:hAnsi="Times New Roman" w:cs="Times New Roman"/>
        <w:b/>
        <w:bCs/>
        <w:color w:val="000000"/>
        <w:sz w:val="20"/>
        <w:szCs w:val="20"/>
      </w:rPr>
      <w:t>agacity: A Multidisciplinary Research Journal ISSN: 2583-7540 July-Dec 2025, Vol.4, No.2.</w:t>
    </w:r>
  </w:p>
  <w:p w14:paraId="1FF49974">
    <w:pPr>
      <w:pStyle w:val="8"/>
    </w:pPr>
  </w:p>
  <w:p w14:paraId="05AFAF0B">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452A82"/>
    <w:multiLevelType w:val="multilevel"/>
    <w:tmpl w:val="19452A8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2285724C"/>
    <w:multiLevelType w:val="multilevel"/>
    <w:tmpl w:val="2285724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35220855"/>
    <w:multiLevelType w:val="multilevel"/>
    <w:tmpl w:val="3522085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55293DB2"/>
    <w:multiLevelType w:val="multilevel"/>
    <w:tmpl w:val="55293DB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59E5721E"/>
    <w:multiLevelType w:val="multilevel"/>
    <w:tmpl w:val="59E5721E"/>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6E044E46"/>
    <w:multiLevelType w:val="multilevel"/>
    <w:tmpl w:val="6E044E4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6">
    <w:nsid w:val="70565DB5"/>
    <w:multiLevelType w:val="multilevel"/>
    <w:tmpl w:val="70565DB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2"/>
  </w:num>
  <w:num w:numId="2">
    <w:abstractNumId w:val="6"/>
  </w:num>
  <w:num w:numId="3">
    <w:abstractNumId w:val="5"/>
  </w:num>
  <w:num w:numId="4">
    <w:abstractNumId w:val="1"/>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4DE"/>
    <w:rsid w:val="002C74DE"/>
    <w:rsid w:val="003C43ED"/>
    <w:rsid w:val="004354C7"/>
    <w:rsid w:val="005D3613"/>
    <w:rsid w:val="005F4CD3"/>
    <w:rsid w:val="007F57B4"/>
    <w:rsid w:val="008A419D"/>
    <w:rsid w:val="009A5ADA"/>
    <w:rsid w:val="00AA0DAA"/>
    <w:rsid w:val="00AC123E"/>
    <w:rsid w:val="00DE3ED6"/>
    <w:rsid w:val="00F234D1"/>
    <w:rsid w:val="00FB6E72"/>
    <w:rsid w:val="2E1114ED"/>
    <w:rsid w:val="39883C96"/>
    <w:rsid w:val="48371A72"/>
    <w:rsid w:val="5A0A3EDC"/>
    <w:rsid w:val="6B3A6703"/>
    <w:rsid w:val="6C4A4468"/>
    <w:rsid w:val="70390421"/>
    <w:rsid w:val="798D3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2"/>
    <w:basedOn w:val="1"/>
    <w:link w:val="13"/>
    <w:qFormat/>
    <w:uiPriority w:val="9"/>
    <w:pPr>
      <w:spacing w:before="100" w:beforeAutospacing="1" w:after="100" w:afterAutospacing="1" w:line="240" w:lineRule="auto"/>
      <w:outlineLvl w:val="1"/>
    </w:pPr>
    <w:rPr>
      <w:rFonts w:ascii="Times New Roman" w:hAnsi="Times New Roman" w:eastAsia="Times New Roman" w:cs="Times New Roman"/>
      <w:b/>
      <w:bCs/>
      <w:sz w:val="36"/>
      <w:szCs w:val="36"/>
    </w:rPr>
  </w:style>
  <w:style w:type="paragraph" w:styleId="3">
    <w:name w:val="heading 3"/>
    <w:basedOn w:val="1"/>
    <w:next w:val="1"/>
    <w:link w:val="14"/>
    <w:semiHidden/>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Emphasis"/>
    <w:basedOn w:val="4"/>
    <w:qFormat/>
    <w:uiPriority w:val="20"/>
    <w:rPr>
      <w:i/>
      <w:iCs/>
    </w:rPr>
  </w:style>
  <w:style w:type="paragraph" w:styleId="7">
    <w:name w:val="footer"/>
    <w:basedOn w:val="1"/>
    <w:link w:val="16"/>
    <w:unhideWhenUsed/>
    <w:qFormat/>
    <w:uiPriority w:val="99"/>
    <w:pPr>
      <w:tabs>
        <w:tab w:val="center" w:pos="4680"/>
        <w:tab w:val="right" w:pos="9360"/>
      </w:tabs>
      <w:spacing w:after="0" w:line="240" w:lineRule="auto"/>
    </w:pPr>
  </w:style>
  <w:style w:type="paragraph" w:styleId="8">
    <w:name w:val="header"/>
    <w:basedOn w:val="1"/>
    <w:link w:val="15"/>
    <w:unhideWhenUsed/>
    <w:qFormat/>
    <w:uiPriority w:val="0"/>
    <w:pPr>
      <w:tabs>
        <w:tab w:val="center" w:pos="4680"/>
        <w:tab w:val="right" w:pos="9360"/>
      </w:tabs>
      <w:spacing w:after="0" w:line="240" w:lineRule="auto"/>
    </w:pPr>
  </w:style>
  <w:style w:type="character" w:styleId="9">
    <w:name w:val="Hyperlink"/>
    <w:basedOn w:val="4"/>
    <w:semiHidden/>
    <w:unhideWhenUsed/>
    <w:qFormat/>
    <w:uiPriority w:val="99"/>
    <w:rPr>
      <w:color w:val="0000FF"/>
      <w:u w:val="single"/>
    </w:rPr>
  </w:style>
  <w:style w:type="paragraph" w:styleId="10">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11">
    <w:name w:val="page number"/>
    <w:basedOn w:val="4"/>
    <w:semiHidden/>
    <w:unhideWhenUsed/>
    <w:qFormat/>
    <w:uiPriority w:val="99"/>
  </w:style>
  <w:style w:type="character" w:styleId="12">
    <w:name w:val="Strong"/>
    <w:basedOn w:val="4"/>
    <w:qFormat/>
    <w:uiPriority w:val="22"/>
    <w:rPr>
      <w:b/>
      <w:bCs/>
    </w:rPr>
  </w:style>
  <w:style w:type="character" w:customStyle="1" w:styleId="13">
    <w:name w:val="Heading 2 Char"/>
    <w:basedOn w:val="4"/>
    <w:link w:val="2"/>
    <w:qFormat/>
    <w:uiPriority w:val="9"/>
    <w:rPr>
      <w:rFonts w:ascii="Times New Roman" w:hAnsi="Times New Roman" w:eastAsia="Times New Roman" w:cs="Times New Roman"/>
      <w:b/>
      <w:bCs/>
      <w:sz w:val="36"/>
      <w:szCs w:val="36"/>
    </w:rPr>
  </w:style>
  <w:style w:type="character" w:customStyle="1" w:styleId="14">
    <w:name w:val="Heading 3 Char"/>
    <w:basedOn w:val="4"/>
    <w:link w:val="3"/>
    <w:semiHidden/>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5">
    <w:name w:val="Header Char"/>
    <w:basedOn w:val="4"/>
    <w:link w:val="8"/>
    <w:qFormat/>
    <w:uiPriority w:val="0"/>
  </w:style>
  <w:style w:type="character" w:customStyle="1" w:styleId="16">
    <w:name w:val="Footer Char"/>
    <w:basedOn w:val="4"/>
    <w:link w:val="7"/>
    <w:qFormat/>
    <w:uiPriority w:val="99"/>
  </w:style>
  <w:style w:type="character" w:customStyle="1" w:styleId="17">
    <w:name w:val="s3"/>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2625</Words>
  <Characters>18203</Characters>
  <Lines>148</Lines>
  <Paragraphs>41</Paragraphs>
  <TotalTime>0</TotalTime>
  <ScaleCrop>false</ScaleCrop>
  <LinksUpToDate>false</LinksUpToDate>
  <CharactersWithSpaces>20763</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2026-01-03T07:26:00Z</dcterms:created>
  <dc:creator>KCW Commerce</dc:creator>
  <cp:lastModifiedBy>Dr. Ritu Dhawan Sr. No.11</cp:lastModifiedBy>
  <dcterms:modified xsi:type="dcterms:W3CDTF">2026-01-05T18:52:52Z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2025-12-27T07:25:37Z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72017a48-2a90-4f71-afb0-5accc82218bf</vt:lpwstr>
  </property>
  <property fmtid="{D5CDD505-2E9C-101B-9397-08002B2CF9AE}" pid="7" name="MSIP_Label_defa4170-0d19-0005-0004-bc88714345d2_ActionId">
    <vt:lpwstr>f27a8097-5c5d-4099-a75e-f6dd5becb180</vt:lpwstr>
  </property>
  <property fmtid="{D5CDD505-2E9C-101B-9397-08002B2CF9AE}" pid="8" name="MSIP_Label_defa4170-0d19-0005-0004-bc88714345d2_ContentBits">
    <vt:lpwstr>0</vt:lpwstr>
  </property>
  <property fmtid="{D5CDD505-2E9C-101B-9397-08002B2CF9AE}" pid="9" name="MSIP_Label_defa4170-0d19-0005-0004-bc88714345d2_Tag">
    <vt:lpwstr>50, 3, 0, 1</vt:lpwstr>
  </property>
  <property fmtid="{D5CDD505-2E9C-101B-9397-08002B2CF9AE}" pid="10" name="KSOProductBuildVer">
    <vt:lpwstr>1033-12.2.0.23131</vt:lpwstr>
  </property>
  <property fmtid="{D5CDD505-2E9C-101B-9397-08002B2CF9AE}" pid="11" name="ICV">
    <vt:lpwstr>E6159292AF164100988AF37778343674_13</vt:lpwstr>
  </property>
</Properties>
</file>